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447322A" w:rsidR="00A16385" w:rsidRPr="0098282F" w:rsidRDefault="00A16385" w:rsidP="00A16385">
      <w:pPr>
        <w:spacing w:before="0" w:beforeAutospacing="0" w:after="0" w:afterAutospacing="0"/>
        <w:ind w:firstLine="567"/>
        <w:jc w:val="both"/>
        <w:rPr>
          <w:rFonts w:ascii="PT Astra Serif" w:hAnsi="PT Astra Serif"/>
          <w:color w:val="00206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75641B">
        <w:rPr>
          <w:rFonts w:ascii="PT Astra Serif" w:hAnsi="PT Astra Serif"/>
          <w:b/>
          <w:color w:val="C00000"/>
          <w:sz w:val="24"/>
          <w:szCs w:val="24"/>
          <w:lang w:val="ru-RU"/>
        </w:rPr>
        <w:t xml:space="preserve"> </w:t>
      </w:r>
      <w:r w:rsidR="0075641B" w:rsidRPr="0098282F">
        <w:rPr>
          <w:rFonts w:ascii="PT Astra Serif" w:hAnsi="PT Astra Serif"/>
          <w:b/>
          <w:color w:val="002060"/>
          <w:sz w:val="24"/>
          <w:szCs w:val="24"/>
          <w:lang w:val="ru-RU"/>
        </w:rPr>
        <w:t xml:space="preserve">не </w:t>
      </w:r>
      <w:r w:rsidR="00AC7764" w:rsidRPr="0098282F">
        <w:rPr>
          <w:rFonts w:ascii="PT Astra Serif" w:hAnsi="PT Astra Serif"/>
          <w:b/>
          <w:color w:val="002060"/>
          <w:sz w:val="24"/>
          <w:szCs w:val="24"/>
          <w:lang w:val="ru-RU"/>
        </w:rPr>
        <w:t>т</w:t>
      </w:r>
      <w:r w:rsidRPr="0098282F">
        <w:rPr>
          <w:rFonts w:ascii="PT Astra Serif" w:hAnsi="PT Astra Serif"/>
          <w:b/>
          <w:color w:val="00206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0CCA9A7F" w14:textId="77777777" w:rsidR="001A12FD" w:rsidRDefault="00A16385" w:rsidP="001A12FD">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75641B">
        <w:rPr>
          <w:rFonts w:ascii="PT Astra Serif" w:hAnsi="PT Astra Serif"/>
          <w:color w:val="000099"/>
          <w:sz w:val="24"/>
          <w:szCs w:val="24"/>
          <w:lang w:val="ru-RU"/>
        </w:rPr>
        <w:t>:</w:t>
      </w:r>
      <w:proofErr w:type="gramEnd"/>
    </w:p>
    <w:p w14:paraId="1024B4D9" w14:textId="77777777" w:rsidR="001A12FD" w:rsidRPr="00103678" w:rsidRDefault="001A12FD" w:rsidP="001A12FD">
      <w:pPr>
        <w:spacing w:before="0" w:beforeAutospacing="0" w:after="0" w:afterAutospacing="0"/>
        <w:jc w:val="both"/>
        <w:rPr>
          <w:sz w:val="24"/>
          <w:szCs w:val="24"/>
          <w:lang w:val="ru-RU" w:eastAsia="ru-RU"/>
        </w:rPr>
      </w:pPr>
      <w:r w:rsidRPr="00103678">
        <w:rPr>
          <w:b/>
          <w:i/>
          <w:sz w:val="24"/>
          <w:szCs w:val="24"/>
          <w:lang w:val="ru-RU" w:eastAsia="ru-RU"/>
        </w:rPr>
        <w:t xml:space="preserve">1) требуется: </w:t>
      </w:r>
      <w:r w:rsidRPr="00103678">
        <w:rPr>
          <w:sz w:val="24"/>
          <w:szCs w:val="24"/>
          <w:lang w:val="ru-RU" w:eastAsia="ru-RU"/>
        </w:rPr>
        <w:t>в</w:t>
      </w:r>
      <w:r w:rsidRPr="00103678">
        <w:rPr>
          <w:b/>
          <w:i/>
          <w:sz w:val="24"/>
          <w:szCs w:val="24"/>
          <w:lang w:val="ru-RU" w:eastAsia="ru-RU"/>
        </w:rPr>
        <w:t xml:space="preserve"> </w:t>
      </w:r>
      <w:r w:rsidRPr="00103678">
        <w:rPr>
          <w:color w:val="000000"/>
          <w:sz w:val="24"/>
          <w:szCs w:val="24"/>
          <w:lang w:val="ru-RU"/>
        </w:rPr>
        <w:t xml:space="preserve">соответствии с </w:t>
      </w:r>
      <w:r w:rsidRPr="00103678">
        <w:rPr>
          <w:sz w:val="24"/>
          <w:szCs w:val="24"/>
          <w:lang w:val="ru-RU" w:eastAsia="ru-RU"/>
        </w:rPr>
        <w:t>пунктом 1 части 1 статьи 31 Закона о контрактной системе:</w:t>
      </w:r>
    </w:p>
    <w:p w14:paraId="0D0541A1" w14:textId="7A891FA4" w:rsidR="005D5598" w:rsidRDefault="00E22669" w:rsidP="005D5598">
      <w:pPr>
        <w:spacing w:after="0"/>
        <w:jc w:val="both"/>
        <w:rPr>
          <w:rStyle w:val="sectioninfo"/>
          <w:sz w:val="24"/>
          <w:szCs w:val="24"/>
          <w:lang w:val="ru-RU"/>
        </w:rPr>
      </w:pPr>
      <w:r w:rsidRPr="00E22669">
        <w:rPr>
          <w:rStyle w:val="sectioninfo"/>
          <w:i/>
          <w:sz w:val="24"/>
          <w:szCs w:val="24"/>
          <w:lang w:val="ru-RU"/>
        </w:rPr>
        <w:t>Наличие действующей лицензии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w:t>
      </w:r>
      <w:r w:rsidR="00104C88">
        <w:rPr>
          <w:rStyle w:val="sectioninfo"/>
          <w:i/>
          <w:sz w:val="24"/>
          <w:szCs w:val="24"/>
          <w:lang w:val="ru-RU"/>
        </w:rPr>
        <w:t>трия» и «психиатрия-наркология».</w:t>
      </w:r>
      <w:bookmarkStart w:id="0" w:name="_GoBack"/>
      <w:bookmarkEnd w:id="0"/>
      <w:r w:rsidR="005D5598" w:rsidRPr="00103678">
        <w:rPr>
          <w:sz w:val="24"/>
          <w:szCs w:val="24"/>
          <w:lang w:val="ru-RU"/>
        </w:rPr>
        <w:t xml:space="preserve"> </w:t>
      </w:r>
      <w:r w:rsidR="001A12FD" w:rsidRPr="00103678">
        <w:rPr>
          <w:rStyle w:val="sectioninfo"/>
          <w:sz w:val="24"/>
          <w:szCs w:val="24"/>
          <w:lang w:val="ru-RU"/>
        </w:rPr>
        <w:t xml:space="preserve">Подтверждением наличия соответствующей лицензии является </w:t>
      </w:r>
      <w:r w:rsidR="001A12FD"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proofErr w:type="gramStart"/>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proofErr w:type="gramStart"/>
      <w:r w:rsidRPr="00396D62">
        <w:rPr>
          <w:rFonts w:eastAsia="Calibri"/>
          <w:sz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96D62">
        <w:rPr>
          <w:rFonts w:eastAsia="Calibri"/>
          <w:sz w:val="24"/>
          <w:lang w:val="ru-RU"/>
        </w:rPr>
        <w:t xml:space="preserve">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lastRenderedPageBreak/>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w:t>
      </w:r>
      <w:proofErr w:type="gramStart"/>
      <w:r w:rsidRPr="00396D62">
        <w:rPr>
          <w:rFonts w:eastAsia="Calibri"/>
          <w:sz w:val="24"/>
          <w:lang w:val="ru-RU"/>
        </w:rPr>
        <w:t>,</w:t>
      </w:r>
      <w:proofErr w:type="gramEnd"/>
      <w:r w:rsidRPr="00396D62">
        <w:rPr>
          <w:rFonts w:eastAsia="Calibri"/>
          <w:sz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396D62">
        <w:rPr>
          <w:rFonts w:eastAsia="Calibri"/>
          <w:sz w:val="24"/>
          <w:lang w:val="ru-RU"/>
        </w:rPr>
        <w:t>виде</w:t>
      </w:r>
      <w:proofErr w:type="gramEnd"/>
      <w:r w:rsidRPr="00396D62">
        <w:rPr>
          <w:rFonts w:eastAsia="Calibri"/>
          <w:sz w:val="24"/>
          <w:lang w:val="ru-RU"/>
        </w:rPr>
        <w:t>.</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 xml:space="preserve">,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«не более», «не выше»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менее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более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участником представляется значение менее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 участником представляется значение более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396D62">
        <w:rPr>
          <w:rFonts w:eastAsia="Calibri"/>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w:t>
      </w:r>
      <w:proofErr w:type="gramStart"/>
      <w:r w:rsidRPr="00396D62">
        <w:rPr>
          <w:rFonts w:eastAsia="Calibri"/>
          <w:sz w:val="24"/>
          <w:szCs w:val="24"/>
          <w:lang w:val="ru-RU"/>
        </w:rPr>
        <w:t>,»</w:t>
      </w:r>
      <w:proofErr w:type="gramEnd"/>
      <w:r w:rsidRPr="00396D62">
        <w:rPr>
          <w:rFonts w:eastAsia="Calibri"/>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396D62">
        <w:rPr>
          <w:rFonts w:eastAsia="Calibri"/>
          <w:sz w:val="24"/>
          <w:szCs w:val="24"/>
          <w:lang w:val="ru-RU"/>
        </w:rPr>
        <w:t>,»</w:t>
      </w:r>
      <w:proofErr w:type="gramEnd"/>
      <w:r w:rsidRPr="00396D62">
        <w:rPr>
          <w:rFonts w:eastAsia="Calibri"/>
          <w:sz w:val="24"/>
          <w:szCs w:val="24"/>
          <w:lang w:val="ru-RU"/>
        </w:rPr>
        <w:t>,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w:t>
      </w:r>
      <w:proofErr w:type="gramEnd"/>
      <w:r w:rsidRPr="00396D62">
        <w:rPr>
          <w:rFonts w:eastAsia="Calibri"/>
          <w:sz w:val="24"/>
          <w:szCs w:val="24"/>
          <w:lang w:val="ru-RU"/>
        </w:rPr>
        <w:t xml:space="preserve"> </w:t>
      </w:r>
      <w:proofErr w:type="gramStart"/>
      <w:r w:rsidRPr="00396D62">
        <w:rPr>
          <w:rFonts w:eastAsia="Calibri"/>
          <w:sz w:val="24"/>
          <w:szCs w:val="24"/>
          <w:lang w:val="ru-RU"/>
        </w:rPr>
        <w:t>заказчиком</w:t>
      </w:r>
      <w:proofErr w:type="gramEnd"/>
      <w:r w:rsidRPr="00396D62">
        <w:rPr>
          <w:rFonts w:eastAsia="Calibri"/>
          <w:sz w:val="24"/>
          <w:szCs w:val="24"/>
          <w:lang w:val="ru-RU"/>
        </w:rPr>
        <w:t xml:space="preserve">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96D62">
        <w:rPr>
          <w:rFonts w:eastAsia="Calibri"/>
          <w:sz w:val="24"/>
          <w:szCs w:val="24"/>
          <w:lang w:val="ru-RU"/>
        </w:rPr>
        <w:t>т.ч</w:t>
      </w:r>
      <w:proofErr w:type="spellEnd"/>
      <w:r w:rsidRPr="00396D62">
        <w:rPr>
          <w:rFonts w:eastAsia="Calibri"/>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396D62">
        <w:rPr>
          <w:rFonts w:eastAsia="Calibri"/>
          <w:sz w:val="24"/>
          <w:szCs w:val="24"/>
          <w:lang w:val="ru-RU"/>
        </w:rPr>
        <w:t xml:space="preserve">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95288" w14:textId="77777777" w:rsidR="007F1948" w:rsidRDefault="007F1948" w:rsidP="006F0750">
      <w:pPr>
        <w:spacing w:before="0" w:after="0"/>
      </w:pPr>
      <w:r>
        <w:separator/>
      </w:r>
    </w:p>
  </w:endnote>
  <w:endnote w:type="continuationSeparator" w:id="0">
    <w:p w14:paraId="38AED888" w14:textId="77777777" w:rsidR="007F1948" w:rsidRDefault="007F1948"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EB410EC" w:rsidR="006F0750" w:rsidRDefault="006F0750">
        <w:pPr>
          <w:pStyle w:val="ad"/>
          <w:jc w:val="center"/>
        </w:pPr>
        <w:r>
          <w:fldChar w:fldCharType="begin"/>
        </w:r>
        <w:r>
          <w:instrText>PAGE   \* MERGEFORMAT</w:instrText>
        </w:r>
        <w:r>
          <w:fldChar w:fldCharType="separate"/>
        </w:r>
        <w:r w:rsidR="00104C88" w:rsidRPr="00104C88">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2AE40" w14:textId="77777777" w:rsidR="007F1948" w:rsidRDefault="007F1948" w:rsidP="006F0750">
      <w:pPr>
        <w:spacing w:before="0" w:after="0"/>
      </w:pPr>
      <w:r>
        <w:separator/>
      </w:r>
    </w:p>
  </w:footnote>
  <w:footnote w:type="continuationSeparator" w:id="0">
    <w:p w14:paraId="37557086" w14:textId="77777777" w:rsidR="007F1948" w:rsidRDefault="007F1948"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03678"/>
    <w:rsid w:val="00104C88"/>
    <w:rsid w:val="00150515"/>
    <w:rsid w:val="0016653D"/>
    <w:rsid w:val="001A12FD"/>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40EB1"/>
    <w:rsid w:val="0058272A"/>
    <w:rsid w:val="00586EDC"/>
    <w:rsid w:val="005A05CE"/>
    <w:rsid w:val="005D5598"/>
    <w:rsid w:val="00607DE2"/>
    <w:rsid w:val="00617F1A"/>
    <w:rsid w:val="0064289D"/>
    <w:rsid w:val="006446EB"/>
    <w:rsid w:val="00653AF6"/>
    <w:rsid w:val="00690615"/>
    <w:rsid w:val="006D0956"/>
    <w:rsid w:val="006F0750"/>
    <w:rsid w:val="0075641B"/>
    <w:rsid w:val="00766214"/>
    <w:rsid w:val="0078752D"/>
    <w:rsid w:val="00791599"/>
    <w:rsid w:val="007B7B42"/>
    <w:rsid w:val="007D330B"/>
    <w:rsid w:val="007F1948"/>
    <w:rsid w:val="00807BCD"/>
    <w:rsid w:val="00815405"/>
    <w:rsid w:val="00846EDD"/>
    <w:rsid w:val="008D28E9"/>
    <w:rsid w:val="008D4D55"/>
    <w:rsid w:val="009271BE"/>
    <w:rsid w:val="009477F7"/>
    <w:rsid w:val="0098282F"/>
    <w:rsid w:val="009D246C"/>
    <w:rsid w:val="00A04AA7"/>
    <w:rsid w:val="00A16385"/>
    <w:rsid w:val="00A8378F"/>
    <w:rsid w:val="00AC7764"/>
    <w:rsid w:val="00AD32D3"/>
    <w:rsid w:val="00AF376C"/>
    <w:rsid w:val="00B504FC"/>
    <w:rsid w:val="00B52F91"/>
    <w:rsid w:val="00B73A5A"/>
    <w:rsid w:val="00B81B48"/>
    <w:rsid w:val="00BD72E5"/>
    <w:rsid w:val="00BE75AC"/>
    <w:rsid w:val="00BF4B4C"/>
    <w:rsid w:val="00C26F57"/>
    <w:rsid w:val="00C6280D"/>
    <w:rsid w:val="00D16A8A"/>
    <w:rsid w:val="00D36E07"/>
    <w:rsid w:val="00D36F98"/>
    <w:rsid w:val="00D67434"/>
    <w:rsid w:val="00D7650C"/>
    <w:rsid w:val="00DD1B8C"/>
    <w:rsid w:val="00DD563E"/>
    <w:rsid w:val="00E22669"/>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2689</Words>
  <Characters>15329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Ловыгина Наталья Борисовна</cp:lastModifiedBy>
  <cp:revision>6</cp:revision>
  <cp:lastPrinted>2025-02-19T07:10:00Z</cp:lastPrinted>
  <dcterms:created xsi:type="dcterms:W3CDTF">2024-06-18T10:29:00Z</dcterms:created>
  <dcterms:modified xsi:type="dcterms:W3CDTF">2025-02-19T07:12:00Z</dcterms:modified>
</cp:coreProperties>
</file>